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suppressAutoHyphens w:val="true"/>
        <w:spacing w:before="0" w:after="480"/>
        <w:jc w:val="center"/>
        <w:outlineLvl w:val="9"/>
        <w:rPr>
          <w:rFonts w:ascii="Calibri;sans-serif" w:hAnsi="Calibri;sans-serif" w:eastAsia="Calibri" w:cs="Calibri;sans-serif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shd w:fill="auto" w:val="clear"/>
        </w:rPr>
      </w:pPr>
      <w:r>
        <w:rPr>
          <w:rFonts w:eastAsia="Calibri" w:cs="Calibri;sans-serif" w:ascii="Calibri;sans-serif" w:hAnsi="Calibri;sans-serif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shd w:fill="auto" w:val="clear"/>
        </w:rPr>
      </w:r>
    </w:p>
    <w:p>
      <w:pPr>
        <w:pStyle w:val="Normal"/>
        <w:suppressAutoHyphens w:val="true"/>
        <w:spacing w:before="0" w:after="480"/>
        <w:jc w:val="center"/>
        <w:outlineLvl w:val="9"/>
        <w:rPr>
          <w:rFonts w:ascii="Calibri;sans-serif" w:hAnsi="Calibri;sans-serif" w:eastAsia="Calibri" w:cs="Calibri;sans-serif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shd w:fill="auto" w:val="clear"/>
        </w:rPr>
      </w:pPr>
      <w:r>
        <w:rPr>
          <w:rFonts w:eastAsia="Calibri" w:cs="Calibri;sans-serif" w:ascii="Calibri;sans-serif" w:hAnsi="Calibri;sans-serif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shd w:fill="auto" w:val="clear"/>
        </w:rPr>
      </w:r>
    </w:p>
    <w:p>
      <w:pPr>
        <w:pStyle w:val="Normal"/>
        <w:suppressAutoHyphens w:val="true"/>
        <w:spacing w:before="0" w:after="480"/>
        <w:jc w:val="center"/>
        <w:outlineLvl w:val="9"/>
        <w:rPr>
          <w:rFonts w:ascii="Calibri;sans-serif" w:hAnsi="Calibri;sans-serif" w:eastAsia="Calibri" w:cs="Calibri;sans-serif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shd w:fill="auto" w:val="clear"/>
        </w:rPr>
      </w:pPr>
      <w:r>
        <w:rPr>
          <w:rFonts w:cs="Calibri" w:ascii="Calibri" w:hAnsi="Calibri"/>
          <w:b/>
          <w:sz w:val="28"/>
          <w:szCs w:val="28"/>
          <w:u w:val="single"/>
        </w:rPr>
        <w:t xml:space="preserve">DISPENSA ELETRÔNICA N. </w:t>
      </w:r>
      <w:r>
        <w:rPr>
          <w:rFonts w:cs="Calibri" w:ascii="Calibri" w:hAnsi="Calibri"/>
          <w:b/>
          <w:sz w:val="28"/>
          <w:szCs w:val="28"/>
          <w:u w:val="single"/>
        </w:rPr>
        <w:t>4</w:t>
      </w:r>
      <w:r>
        <w:rPr>
          <w:rFonts w:cs="Calibri" w:ascii="Calibri" w:hAnsi="Calibri"/>
          <w:b/>
          <w:sz w:val="28"/>
          <w:szCs w:val="28"/>
          <w:u w:val="single"/>
        </w:rPr>
        <w:t>/2026</w:t>
      </w:r>
    </w:p>
    <w:p>
      <w:pPr>
        <w:pStyle w:val="normal1"/>
        <w:widowControl/>
        <w:shd w:val="clear" w:fill="auto"/>
        <w:spacing w:lineRule="auto" w:line="240" w:before="0" w:after="0"/>
        <w:ind w:hanging="0" w:start="-851" w:end="-851"/>
        <w:jc w:val="center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singl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single"/>
          <w:shd w:fill="auto" w:val="clear"/>
          <w:vertAlign w:val="baseline"/>
        </w:rPr>
      </w:r>
    </w:p>
    <w:p>
      <w:pPr>
        <w:pStyle w:val="normal1"/>
        <w:widowControl/>
        <w:shd w:val="clear" w:fill="auto"/>
        <w:spacing w:lineRule="auto" w:line="240" w:before="0" w:after="0"/>
        <w:ind w:hanging="0" w:start="-851" w:end="-851"/>
        <w:jc w:val="center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singl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single"/>
          <w:shd w:fill="auto" w:val="clear"/>
          <w:vertAlign w:val="baseline"/>
        </w:rPr>
        <w:t>PROPOSTA – TRE-SC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851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singl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single"/>
          <w:shd w:fill="auto" w:val="clear"/>
          <w:vertAlign w:val="baseline"/>
        </w:rPr>
      </w:r>
    </w:p>
    <w:tbl>
      <w:tblPr>
        <w:tblStyle w:val="Table1"/>
        <w:tblW w:w="9408" w:type="dxa"/>
        <w:jc w:val="start"/>
        <w:tblInd w:w="-2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/>
      </w:tblPr>
      <w:tblGrid>
        <w:gridCol w:w="9408"/>
      </w:tblGrid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Data: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Empresa: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CNPJ: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Endereço: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Telefone: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E-mail: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Responsável pela proposta: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Prazos de entrega:</w:t>
            </w:r>
            <w:r>
              <w:rPr>
                <w:rFonts w:eastAsia="Calibri" w:cs="Calibri" w:ascii="Calibri" w:hAnsi="Calibri"/>
                <w:b w:val="false"/>
                <w:position w:val="0"/>
                <w:sz w:val="20"/>
                <w:szCs w:val="20"/>
                <w:vertAlign w:val="baseline"/>
              </w:rPr>
              <w:t xml:space="preserve"> c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>onforme subitem 5.1 do Termo de Referência.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Locais de entrega:</w:t>
            </w:r>
            <w:r>
              <w:rPr>
                <w:rFonts w:eastAsia="Calibri" w:cs="Calibri" w:ascii="Calibri" w:hAnsi="Calibri"/>
                <w:b w:val="false"/>
                <w:position w:val="0"/>
                <w:sz w:val="20"/>
                <w:szCs w:val="20"/>
                <w:vertAlign w:val="baseline"/>
              </w:rPr>
              <w:t xml:space="preserve"> conforme subitem 5.2 do Termo de Referência.</w:t>
            </w:r>
          </w:p>
        </w:tc>
      </w:tr>
      <w:tr>
        <w:trPr>
          <w:trHeight w:val="397" w:hRule="atLeast"/>
        </w:trPr>
        <w:tc>
          <w:tcPr>
            <w:tcW w:w="94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jc w:val="both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 xml:space="preserve">Validade da Proposta: </w:t>
            </w:r>
            <w:r>
              <w:rPr>
                <w:rFonts w:eastAsia="Calibri" w:cs="Calibri" w:ascii="Calibri" w:hAnsi="Calibri"/>
                <w:b w:val="false"/>
                <w:bCs w:val="false"/>
                <w:position w:val="0"/>
                <w:sz w:val="20"/>
                <w:szCs w:val="20"/>
                <w:vertAlign w:val="baseline"/>
              </w:rPr>
              <w:t>9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>0 dias.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851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142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Objeto: Contratação de empresa para prestação dos serviços especializados de locação de dois grupos geradores, bem como sua instalação, operação, manutenção e desinstalação, durante o período que serão realizadas as Eleições 2026.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142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  <w:t>Especificações, condições e prazos conforme “Termo de Referência” do PAE n. 2.781/2026.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851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851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tbl>
      <w:tblPr>
        <w:tblStyle w:val="Table2"/>
        <w:tblW w:w="9422" w:type="dxa"/>
        <w:jc w:val="start"/>
        <w:tblInd w:w="-7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/>
      </w:tblPr>
      <w:tblGrid>
        <w:gridCol w:w="615"/>
        <w:gridCol w:w="5394"/>
        <w:gridCol w:w="1587"/>
        <w:gridCol w:w="1826"/>
      </w:tblGrid>
      <w:tr>
        <w:trPr>
          <w:trHeight w:val="855" w:hRule="atLeast"/>
        </w:trPr>
        <w:tc>
          <w:tcPr>
            <w:tcW w:w="6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Id.</w:t>
            </w:r>
          </w:p>
        </w:tc>
        <w:tc>
          <w:tcPr>
            <w:tcW w:w="53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C0C0C0" w:val="clear"/>
            <w:vAlign w:val="center"/>
          </w:tcPr>
          <w:p>
            <w:pPr>
              <w:pStyle w:val="normal1"/>
              <w:jc w:val="center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OBJETO</w:t>
            </w:r>
          </w:p>
        </w:tc>
        <w:tc>
          <w:tcPr>
            <w:tcW w:w="15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C0C0C0" w:val="clear"/>
            <w:vAlign w:val="center"/>
          </w:tcPr>
          <w:p>
            <w:pPr>
              <w:pStyle w:val="normal1"/>
              <w:jc w:val="center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UNIDADE</w:t>
            </w:r>
          </w:p>
        </w:tc>
        <w:tc>
          <w:tcPr>
            <w:tcW w:w="18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C0C0C0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VALOR TOTAL</w:t>
            </w:r>
          </w:p>
          <w:p>
            <w:pPr>
              <w:pStyle w:val="normal1"/>
              <w:jc w:val="center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(R$)</w:t>
            </w:r>
          </w:p>
        </w:tc>
      </w:tr>
      <w:tr>
        <w:trPr/>
        <w:tc>
          <w:tcPr>
            <w:tcW w:w="6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1</w:t>
            </w:r>
          </w:p>
        </w:tc>
        <w:tc>
          <w:tcPr>
            <w:tcW w:w="5394" w:type="dxa"/>
            <w:tcBorders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before="57" w:after="57"/>
              <w:jc w:val="both"/>
              <w:rPr/>
            </w:pPr>
            <w:r>
              <w:rPr>
                <w:rFonts w:eastAsia="Calibri" w:cs="Calibri" w:ascii="Calibri" w:hAnsi="Calibri"/>
                <w:b w:val="false"/>
                <w:position w:val="0"/>
                <w:sz w:val="20"/>
                <w:szCs w:val="20"/>
                <w:vertAlign w:val="baseline"/>
              </w:rPr>
              <w:t xml:space="preserve">Locação de grupo gerador descrito no subitem 4.1.(I) do Termo de Referência, incluindo mão de obra para instalação, operação, manutenção e desinstalação, durante o </w:t>
            </w:r>
            <w:r>
              <w:rPr>
                <w:rFonts w:eastAsia="Calibri" w:cs="Calibri" w:ascii="Calibri" w:hAnsi="Calibri"/>
                <w:b/>
                <w:color w:val="000000"/>
                <w:position w:val="0"/>
                <w:sz w:val="20"/>
                <w:szCs w:val="20"/>
                <w:vertAlign w:val="baseline"/>
              </w:rPr>
              <w:t>1º turno</w:t>
            </w:r>
            <w:r>
              <w:rPr>
                <w:rFonts w:eastAsia="Calibri" w:cs="Calibri" w:ascii="Calibri" w:hAnsi="Calibri"/>
                <w:b w:val="false"/>
                <w:bCs w:val="false"/>
                <w:color w:val="000000"/>
                <w:position w:val="0"/>
                <w:sz w:val="20"/>
                <w:szCs w:val="20"/>
                <w:vertAlign w:val="baseline"/>
              </w:rPr>
              <w:t>.</w:t>
            </w:r>
          </w:p>
        </w:tc>
        <w:tc>
          <w:tcPr>
            <w:tcW w:w="1587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bidi w:val="0"/>
              <w:spacing w:lineRule="auto" w:line="240" w:before="1" w:after="0"/>
              <w:ind w:hanging="0" w:start="0" w:end="0"/>
              <w:jc w:val="center"/>
              <w:rPr/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Unidade</w:t>
            </w:r>
          </w:p>
        </w:tc>
        <w:tc>
          <w:tcPr>
            <w:tcW w:w="1826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  <w:tr>
        <w:trPr>
          <w:trHeight w:val="515" w:hRule="atLeast"/>
        </w:trPr>
        <w:tc>
          <w:tcPr>
            <w:tcW w:w="6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2</w:t>
            </w:r>
          </w:p>
        </w:tc>
        <w:tc>
          <w:tcPr>
            <w:tcW w:w="5394" w:type="dxa"/>
            <w:tcBorders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before="57" w:after="57"/>
              <w:jc w:val="both"/>
              <w:rPr/>
            </w:pP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Preço por hora de funcionamento do gerador descrito no subitem 4.1.(I) do Termo de Referência, durante o </w:t>
            </w: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1º turno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(de acordo com a necessidade, podendo variar de 0 a 56 horas).</w:t>
            </w:r>
          </w:p>
        </w:tc>
        <w:tc>
          <w:tcPr>
            <w:tcW w:w="1587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/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Hora</w:t>
            </w:r>
          </w:p>
        </w:tc>
        <w:tc>
          <w:tcPr>
            <w:tcW w:w="1826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  <w:tr>
        <w:trPr>
          <w:trHeight w:val="515" w:hRule="atLeast"/>
        </w:trPr>
        <w:tc>
          <w:tcPr>
            <w:tcW w:w="6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3</w:t>
            </w:r>
          </w:p>
        </w:tc>
        <w:tc>
          <w:tcPr>
            <w:tcW w:w="5394" w:type="dxa"/>
            <w:tcBorders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before="57" w:after="57"/>
              <w:jc w:val="both"/>
              <w:rPr/>
            </w:pP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Locação de grupo gerador descrito no subitem 4.1.(II) do Termo de Referência, incluindo mão de obra para instalação, operação, manutenção e desinstalação, durante o </w:t>
            </w: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1º turno</w:t>
            </w:r>
            <w:r>
              <w:rPr>
                <w:rFonts w:eastAsia="Calibri" w:cs="Calibri" w:ascii="Calibri" w:hAnsi="Calibri"/>
                <w:b w:val="false"/>
                <w:bCs w:val="false"/>
                <w:position w:val="0"/>
                <w:sz w:val="20"/>
                <w:szCs w:val="20"/>
                <w:vertAlign w:val="baseline"/>
              </w:rPr>
              <w:t>.</w:t>
            </w:r>
          </w:p>
        </w:tc>
        <w:tc>
          <w:tcPr>
            <w:tcW w:w="1587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1" w:after="0"/>
              <w:ind w:hanging="0" w:start="0" w:end="0"/>
              <w:jc w:val="center"/>
              <w:rPr/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Unidade</w:t>
            </w:r>
          </w:p>
        </w:tc>
        <w:tc>
          <w:tcPr>
            <w:tcW w:w="1826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  <w:tr>
        <w:trPr>
          <w:trHeight w:val="515" w:hRule="atLeast"/>
        </w:trPr>
        <w:tc>
          <w:tcPr>
            <w:tcW w:w="6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4</w:t>
            </w:r>
          </w:p>
        </w:tc>
        <w:tc>
          <w:tcPr>
            <w:tcW w:w="5394" w:type="dxa"/>
            <w:tcBorders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before="57" w:after="57"/>
              <w:jc w:val="both"/>
              <w:rPr/>
            </w:pPr>
            <w:r>
              <w:rPr>
                <w:rFonts w:eastAsia="Calibri" w:cs="Calibri" w:ascii="Calibri" w:hAnsi="Calibri"/>
                <w:b w:val="false"/>
                <w:position w:val="0"/>
                <w:sz w:val="20"/>
                <w:szCs w:val="20"/>
                <w:vertAlign w:val="baseline"/>
              </w:rPr>
              <w:t xml:space="preserve">Locação de grupo gerador descrito no subitem 4.1.(I) do Termo de Referência, incluindo mão de obra para instalação, operação, manutenção e desinstalação, durante o </w:t>
            </w: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2</w:t>
            </w:r>
            <w:r>
              <w:rPr>
                <w:rFonts w:eastAsia="Calibri" w:cs="Calibri" w:ascii="Calibri" w:hAnsi="Calibri"/>
                <w:b/>
                <w:color w:val="000000"/>
                <w:position w:val="0"/>
                <w:sz w:val="20"/>
                <w:szCs w:val="20"/>
                <w:vertAlign w:val="baseline"/>
              </w:rPr>
              <w:t>º turno</w:t>
            </w:r>
            <w:r>
              <w:rPr>
                <w:rFonts w:eastAsia="Calibri" w:cs="Calibri" w:ascii="Calibri" w:hAnsi="Calibri"/>
                <w:b w:val="false"/>
                <w:bCs w:val="false"/>
                <w:color w:val="000000"/>
                <w:position w:val="0"/>
                <w:sz w:val="20"/>
                <w:szCs w:val="20"/>
                <w:vertAlign w:val="baseline"/>
              </w:rPr>
              <w:t>.</w:t>
            </w:r>
          </w:p>
        </w:tc>
        <w:tc>
          <w:tcPr>
            <w:tcW w:w="1587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1" w:after="0"/>
              <w:ind w:hanging="0" w:start="0" w:end="0"/>
              <w:jc w:val="center"/>
              <w:rPr/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Unidade</w:t>
            </w:r>
          </w:p>
        </w:tc>
        <w:tc>
          <w:tcPr>
            <w:tcW w:w="1826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  <w:tr>
        <w:trPr>
          <w:trHeight w:val="515" w:hRule="atLeast"/>
        </w:trPr>
        <w:tc>
          <w:tcPr>
            <w:tcW w:w="6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5</w:t>
            </w:r>
          </w:p>
        </w:tc>
        <w:tc>
          <w:tcPr>
            <w:tcW w:w="5394" w:type="dxa"/>
            <w:tcBorders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before="57" w:after="57"/>
              <w:jc w:val="both"/>
              <w:rPr/>
            </w:pP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Preço por hora de funcionamento do gerador descrito no subitem 4.1.(I) do Termo de Referência, durante o </w:t>
            </w: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2</w:t>
            </w: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º turno</w:t>
            </w: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 (de acordo com a necessidade, podendo variar de 0 a 56 horas).</w:t>
            </w:r>
          </w:p>
        </w:tc>
        <w:tc>
          <w:tcPr>
            <w:tcW w:w="1587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start="0" w:end="0"/>
              <w:jc w:val="center"/>
              <w:rPr/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Hora</w:t>
            </w:r>
          </w:p>
        </w:tc>
        <w:tc>
          <w:tcPr>
            <w:tcW w:w="1826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  <w:tr>
        <w:trPr>
          <w:trHeight w:val="515" w:hRule="atLeast"/>
        </w:trPr>
        <w:tc>
          <w:tcPr>
            <w:tcW w:w="6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6</w:t>
            </w:r>
          </w:p>
        </w:tc>
        <w:tc>
          <w:tcPr>
            <w:tcW w:w="5394" w:type="dxa"/>
            <w:tcBorders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before="57" w:after="57"/>
              <w:jc w:val="both"/>
              <w:rPr/>
            </w:pPr>
            <w:r>
              <w:rPr>
                <w:rFonts w:eastAsia="Calibri" w:cs="Calibri" w:ascii="Calibri" w:hAnsi="Calibri"/>
                <w:position w:val="0"/>
                <w:sz w:val="20"/>
                <w:szCs w:val="20"/>
                <w:vertAlign w:val="baseline"/>
              </w:rPr>
              <w:t xml:space="preserve">Locação de grupo gerador descrito no subitem 4.1.(II) do Termo de Referência, incluindo mão de obra para instalação, operação, manutenção e desinstalação, durante o </w:t>
            </w: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  <w:t>2</w:t>
            </w: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º turno</w:t>
            </w:r>
            <w:r>
              <w:rPr>
                <w:rFonts w:eastAsia="Calibri" w:cs="Calibri" w:ascii="Calibri" w:hAnsi="Calibri"/>
                <w:b w:val="false"/>
                <w:bCs w:val="false"/>
                <w:position w:val="0"/>
                <w:sz w:val="20"/>
                <w:szCs w:val="20"/>
                <w:vertAlign w:val="baseline"/>
              </w:rPr>
              <w:t>.</w:t>
            </w:r>
          </w:p>
        </w:tc>
        <w:tc>
          <w:tcPr>
            <w:tcW w:w="1587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1" w:after="0"/>
              <w:ind w:hanging="0" w:start="0" w:end="0"/>
              <w:jc w:val="center"/>
              <w:rPr/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Unidade</w:t>
            </w:r>
          </w:p>
        </w:tc>
        <w:tc>
          <w:tcPr>
            <w:tcW w:w="1826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  <w:tr>
        <w:trPr>
          <w:trHeight w:val="515" w:hRule="atLeast"/>
        </w:trPr>
        <w:tc>
          <w:tcPr>
            <w:tcW w:w="7596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1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1"/>
              <w:jc w:val="center"/>
              <w:rPr>
                <w:position w:val="0"/>
                <w:sz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position w:val="0"/>
                <w:sz w:val="20"/>
                <w:szCs w:val="20"/>
                <w:vertAlign w:val="baseline"/>
              </w:rPr>
              <w:t>VALOR TOTAL DO ITEM 1</w:t>
            </w:r>
          </w:p>
        </w:tc>
        <w:tc>
          <w:tcPr>
            <w:tcW w:w="1826" w:type="dxa"/>
            <w:tcBorders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1"/>
              <w:jc w:val="center"/>
              <w:rPr>
                <w:rFonts w:ascii="Calibri" w:hAnsi="Calibri" w:eastAsia="Calibri" w:cs="Calibri"/>
                <w:b/>
                <w:bCs/>
                <w:position w:val="0"/>
                <w:sz w:val="20"/>
                <w:szCs w:val="20"/>
                <w:vertAlign w:val="baseline"/>
              </w:rPr>
            </w:pPr>
            <w:r>
              <w:rPr>
                <w:rFonts w:eastAsia="Calibri" w:cs="Calibri" w:ascii="Calibri" w:hAnsi="Calibri"/>
                <w:b/>
                <w:bCs/>
                <w:position w:val="0"/>
                <w:sz w:val="20"/>
                <w:szCs w:val="20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start="-851" w:end="-851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sectPr>
      <w:type w:val="nextPage"/>
      <w:pgSz w:w="11906" w:h="16838"/>
      <w:pgMar w:left="1701" w:right="1701" w:gutter="0" w:header="0" w:top="426" w:footer="0" w:bottom="56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Tahoma-Bold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Georgia">
    <w:charset w:val="00" w:characterSet="windows-1252"/>
    <w:family w:val="roman"/>
    <w:pitch w:val="variable"/>
  </w:font>
  <w:font w:name="Tms Rmn">
    <w:altName w:val="Times New Roman"/>
    <w:charset w:val="00" w:characterSet="windows-1252"/>
    <w:family w:val="roman"/>
    <w:pitch w:val="variable"/>
  </w:font>
  <w:font w:name="Calibri">
    <w:altName w:val="sans-serif"/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/>
      <w:suppressAutoHyphens w:val="false"/>
      <w:bidi w:val="0"/>
      <w:spacing w:lineRule="atLeast" w:line="1" w:before="0" w:after="0"/>
      <w:ind w:hangingChars="1" w:startChars="-1" w:end="0"/>
      <w:jc w:val="start"/>
      <w:textAlignment w:val="top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0"/>
      <w:szCs w:val="20"/>
      <w:effect w:val="none"/>
      <w:em w:val="none"/>
      <w:lang w:val="pt-BR" w:eastAsia="zh-CN" w:bidi="ar-SA"/>
    </w:rPr>
  </w:style>
  <w:style w:type="paragraph" w:styleId="Heading1">
    <w:name w:val="heading 1"/>
    <w:basedOn w:val="normal1"/>
    <w:next w:val="normal1"/>
    <w:qFormat/>
    <w:pPr>
      <w:keepNext w:val="true"/>
      <w:widowControl/>
      <w:suppressAutoHyphens w:val="false"/>
      <w:bidi w:val="0"/>
      <w:spacing w:lineRule="atLeast" w:line="1"/>
      <w:ind w:hangingChars="1" w:startChars="-1" w:end="0"/>
      <w:jc w:val="center"/>
      <w:textAlignment w:val="top"/>
      <w:outlineLvl w:val="0"/>
    </w:pPr>
    <w:rPr>
      <w:rFonts w:ascii="Arial" w:hAnsi="Arial" w:eastAsia="Times New Roman" w:cs="Arial"/>
      <w:b/>
      <w:w w:val="100"/>
      <w:position w:val="-1"/>
      <w:sz w:val="24"/>
      <w:szCs w:val="20"/>
      <w:effect w:val="none"/>
      <w:em w:val="none"/>
      <w:lang w:val="pt-BR" w:eastAsia="zh-CN" w:bidi="ar-SA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2z0">
    <w:name w:val="WW8Num2z0"/>
    <w:qFormat/>
    <w:rPr>
      <w:w w:val="100"/>
      <w:position w:val="0"/>
      <w:sz w:val="20"/>
      <w:effect w:val="none"/>
      <w:vertAlign w:val="baseline"/>
      <w:em w:val="none"/>
    </w:rPr>
  </w:style>
  <w:style w:type="character" w:styleId="WW8Num3z0">
    <w:name w:val="WW8Num3z0"/>
    <w:qFormat/>
    <w:rPr>
      <w:w w:val="100"/>
      <w:position w:val="0"/>
      <w:sz w:val="20"/>
      <w:effect w:val="none"/>
      <w:vertAlign w:val="baseline"/>
      <w:em w:val="none"/>
    </w:rPr>
  </w:style>
  <w:style w:type="character" w:styleId="WW8Num4z0">
    <w:name w:val="WW8Num4z0"/>
    <w:qFormat/>
    <w:rPr>
      <w:rFonts w:ascii="Symbol" w:hAnsi="Symbol" w:cs="Symbol"/>
      <w:w w:val="100"/>
      <w:position w:val="0"/>
      <w:sz w:val="20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0"/>
      <w:effect w:val="none"/>
      <w:vertAlign w:val="baseline"/>
      <w:em w:val="none"/>
    </w:rPr>
  </w:style>
  <w:style w:type="character" w:styleId="WW8Num6z0">
    <w:name w:val="WW8Num6z0"/>
    <w:qFormat/>
    <w:rPr>
      <w:rFonts w:ascii="Symbol" w:hAnsi="Symbol" w:cs="Symbol"/>
      <w:w w:val="100"/>
      <w:position w:val="0"/>
      <w:sz w:val="20"/>
      <w:effect w:val="none"/>
      <w:vertAlign w:val="baseline"/>
      <w:em w:val="none"/>
    </w:rPr>
  </w:style>
  <w:style w:type="character" w:styleId="WW8Num7z0">
    <w:name w:val="WW8Num7z0"/>
    <w:qFormat/>
    <w:rPr>
      <w:rFonts w:ascii="Symbol" w:hAnsi="Symbol" w:cs="Symbol"/>
      <w:w w:val="100"/>
      <w:position w:val="0"/>
      <w:sz w:val="20"/>
      <w:effect w:val="none"/>
      <w:vertAlign w:val="baseline"/>
      <w:em w:val="none"/>
    </w:rPr>
  </w:style>
  <w:style w:type="character" w:styleId="WW8Num7z1">
    <w:name w:val="WW8Num7z1"/>
    <w:qFormat/>
    <w:rPr>
      <w:rFonts w:ascii="Courier New" w:hAnsi="Courier New" w:cs="Courier New"/>
      <w:w w:val="100"/>
      <w:position w:val="0"/>
      <w:sz w:val="20"/>
      <w:effect w:val="none"/>
      <w:vertAlign w:val="baseline"/>
      <w:em w:val="none"/>
    </w:rPr>
  </w:style>
  <w:style w:type="character" w:styleId="WW8Num7z2">
    <w:name w:val="WW8Num7z2"/>
    <w:qFormat/>
    <w:rPr>
      <w:rFonts w:ascii="Wingdings" w:hAnsi="Wingdings" w:cs="Wingdings"/>
      <w:w w:val="100"/>
      <w:position w:val="0"/>
      <w:sz w:val="20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0"/>
      <w:effect w:val="none"/>
      <w:vertAlign w:val="baseline"/>
      <w:em w:val="none"/>
    </w:rPr>
  </w:style>
  <w:style w:type="character" w:styleId="CabealhoChar">
    <w:name w:val="Cabeçalho Char"/>
    <w:basedOn w:val="Fontepargpadro"/>
    <w:qFormat/>
    <w:rPr>
      <w:w w:val="100"/>
      <w:position w:val="0"/>
      <w:sz w:val="20"/>
      <w:effect w:val="none"/>
      <w:vertAlign w:val="baseline"/>
      <w:em w:val="none"/>
    </w:rPr>
  </w:style>
  <w:style w:type="character" w:styleId="RodapChar">
    <w:name w:val="Rodapé Char"/>
    <w:basedOn w:val="Fontepargpadro"/>
    <w:qFormat/>
    <w:rPr>
      <w:w w:val="100"/>
      <w:position w:val="0"/>
      <w:sz w:val="20"/>
      <w:effect w:val="none"/>
      <w:vertAlign w:val="baseline"/>
      <w:em w:val="none"/>
    </w:rPr>
  </w:style>
  <w:style w:type="character" w:styleId="Caracteresdenotaderodap">
    <w:name w:val="Caracteres de nota de rodapé"/>
    <w:qFormat/>
    <w:rPr/>
  </w:style>
  <w:style w:type="character" w:styleId="Caracteresdenotadefim">
    <w:name w:val="Caracteres de nota de fim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1"/>
    <w:qFormat/>
    <w:pPr>
      <w:widowControl/>
      <w:suppressAutoHyphens w:val="false"/>
      <w:bidi w:val="0"/>
      <w:spacing w:lineRule="atLeast" w:line="1" w:before="60" w:after="60"/>
      <w:ind w:hangingChars="1" w:startChars="-1" w:end="0"/>
      <w:jc w:val="both"/>
      <w:textAlignment w:val="top"/>
      <w:outlineLvl w:val="0"/>
    </w:pPr>
    <w:rPr>
      <w:rFonts w:ascii="Arial" w:hAnsi="Arial" w:eastAsia="Times New Roman" w:cs="Arial"/>
      <w:color w:val="000000"/>
      <w:w w:val="100"/>
      <w:sz w:val="20"/>
      <w:szCs w:val="20"/>
      <w:effect w:val="none"/>
      <w:vertAlign w:val="subscript"/>
      <w:em w:val="none"/>
      <w:lang w:val="pt-BR" w:eastAsia="zh-CN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tLeast" w:line="1" w:before="60" w:after="60"/>
      <w:ind w:hangingChars="1" w:startChars="-1" w:end="0"/>
      <w:jc w:val="both"/>
      <w:textAlignment w:val="top"/>
    </w:pPr>
    <w:rPr>
      <w:rFonts w:ascii="Arial" w:hAnsi="Arial" w:eastAsia="Times New Roman" w:cs="Arial"/>
      <w:color w:val="000000"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Caption">
    <w:name w:val="caption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1"/>
    <w:next w:val="BodyText"/>
    <w:qFormat/>
    <w:pPr>
      <w:keepNext w:val="true"/>
      <w:widowControl/>
      <w:suppressAutoHyphens w:val="false"/>
      <w:bidi w:val="0"/>
      <w:spacing w:lineRule="atLeast" w:line="1" w:before="240" w:after="120"/>
      <w:ind w:hangingChars="1" w:startChars="-1" w:end="0"/>
      <w:textAlignment w:val="top"/>
      <w:outlineLvl w:val="0"/>
    </w:pPr>
    <w:rPr>
      <w:rFonts w:ascii="Liberation Sans" w:hAnsi="Liberation Sans" w:eastAsia="Microsoft YaHei" w:cs="Arial"/>
      <w:w w:val="100"/>
      <w:position w:val="-1"/>
      <w:sz w:val="28"/>
      <w:szCs w:val="28"/>
      <w:effect w:val="none"/>
      <w:em w:val="none"/>
      <w:lang w:val="pt-BR" w:eastAsia="zh-CN" w:bidi="ar-SA"/>
    </w:rPr>
  </w:style>
  <w:style w:type="paragraph" w:styleId="ndiceuser">
    <w:name w:val="Índice (user)"/>
    <w:basedOn w:val="normal1"/>
    <w:qFormat/>
    <w:pPr>
      <w:widowControl/>
      <w:suppressLineNumbers/>
      <w:suppressAutoHyphens w:val="false"/>
      <w:bidi w:val="0"/>
      <w:spacing w:lineRule="atLeast" w:line="1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aption1">
    <w:name w:val="Caption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11">
    <w:name w:val="Caption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111">
    <w:name w:val="Caption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1111">
    <w:name w:val="Caption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11111">
    <w:name w:val="Caption1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111111">
    <w:name w:val="Caption111111"/>
    <w:basedOn w:val="normal1"/>
    <w:qFormat/>
    <w:pPr>
      <w:widowControl/>
      <w:suppressLineNumbers/>
      <w:suppressAutoHyphens w:val="false"/>
      <w:bidi w:val="0"/>
      <w:spacing w:lineRule="atLeast" w:line="1" w:before="120" w:after="120"/>
      <w:ind w:hangingChars="1" w:startChars="-1" w:end="0"/>
      <w:textAlignment w:val="top"/>
      <w:outlineLvl w:val="0"/>
    </w:pPr>
    <w:rPr>
      <w:rFonts w:ascii="Times New Roman" w:hAnsi="Times New Roman" w:eastAsia="Times New Roman" w:cs="Ari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Corpo">
    <w:name w:val="Corpo"/>
    <w:qFormat/>
    <w:pPr>
      <w:widowControl w:val="false"/>
      <w:suppressAutoHyphens w:val="false"/>
      <w:bidi w:val="0"/>
      <w:spacing w:lineRule="atLeast" w:line="1" w:before="0" w:after="0"/>
      <w:ind w:hangingChars="1" w:startChars="-1" w:end="0"/>
      <w:jc w:val="start"/>
      <w:textAlignment w:val="top"/>
      <w:outlineLvl w:val="0"/>
    </w:pPr>
    <w:rPr>
      <w:rFonts w:ascii="Times New Roman" w:hAnsi="Times New Roman" w:eastAsia="Times New Roman" w:cs="Times New Roman"/>
      <w:color w:val="000000"/>
      <w:w w:val="100"/>
      <w:kern w:val="0"/>
      <w:position w:val="-1"/>
      <w:sz w:val="24"/>
      <w:szCs w:val="20"/>
      <w:effect w:val="none"/>
      <w:em w:val="none"/>
      <w:lang w:val="pt-BR" w:eastAsia="zh-CN" w:bidi="ar-SA"/>
    </w:rPr>
  </w:style>
  <w:style w:type="paragraph" w:styleId="BodyTextIndent">
    <w:name w:val="Body Text Indent"/>
    <w:basedOn w:val="normal1"/>
    <w:qFormat/>
    <w:pPr>
      <w:widowControl/>
      <w:suppressAutoHyphens w:val="false"/>
      <w:bidi w:val="0"/>
      <w:spacing w:lineRule="atLeast" w:line="1"/>
      <w:ind w:hangingChars="1" w:startChars="-1" w:end="0"/>
      <w:jc w:val="both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4"/>
      <w:szCs w:val="20"/>
      <w:effect w:val="none"/>
      <w:em w:val="none"/>
      <w:lang w:val="pt-BR" w:eastAsia="zh-CN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tLeast" w:line="1" w:before="0" w:after="0"/>
      <w:ind w:hangingChars="1" w:startChars="-1" w:end="0"/>
      <w:jc w:val="start"/>
      <w:textAlignment w:val="top"/>
      <w:outlineLvl w:val="0"/>
    </w:pPr>
    <w:rPr>
      <w:rFonts w:ascii="Tahoma-Bold" w:hAnsi="Tahoma-Bold" w:eastAsia="Times New Roman" w:cs="Tahoma-Bold"/>
      <w:color w:val="auto"/>
      <w:w w:val="100"/>
      <w:kern w:val="0"/>
      <w:position w:val="-1"/>
      <w:sz w:val="20"/>
      <w:szCs w:val="20"/>
      <w:effect w:val="none"/>
      <w:em w:val="none"/>
      <w:lang w:val="pt-BR" w:eastAsia="zh-CN" w:bidi="ar-SA"/>
    </w:rPr>
  </w:style>
  <w:style w:type="paragraph" w:styleId="CabealhoeRodap">
    <w:name w:val="Cabeçalho e Rodapé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tLeast" w:line="1"/>
      <w:ind w:hangingChars="1" w:startChars="-1" w:end="0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Header">
    <w:name w:val="header"/>
    <w:basedOn w:val="normal1"/>
    <w:qFormat/>
    <w:pPr>
      <w:widowControl/>
      <w:tabs>
        <w:tab w:val="clear" w:pos="720"/>
        <w:tab w:val="center" w:pos="4252" w:leader="none"/>
        <w:tab w:val="right" w:pos="8504" w:leader="none"/>
      </w:tabs>
      <w:suppressAutoHyphens w:val="false"/>
      <w:bidi w:val="0"/>
      <w:spacing w:lineRule="atLeast" w:line="1"/>
      <w:ind w:hangingChars="1" w:startChars="-1" w:end="0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Footer">
    <w:name w:val="footer"/>
    <w:basedOn w:val="normal1"/>
    <w:qFormat/>
    <w:pPr>
      <w:widowControl/>
      <w:tabs>
        <w:tab w:val="clear" w:pos="720"/>
        <w:tab w:val="center" w:pos="4252" w:leader="none"/>
        <w:tab w:val="right" w:pos="8504" w:leader="none"/>
      </w:tabs>
      <w:suppressAutoHyphens w:val="false"/>
      <w:bidi w:val="0"/>
      <w:spacing w:lineRule="atLeast" w:line="1"/>
      <w:ind w:hangingChars="1" w:startChars="-1" w:end="0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Contedodatabelauser">
    <w:name w:val="Conteúdo da tabela (user)"/>
    <w:basedOn w:val="normal1"/>
    <w:qFormat/>
    <w:pPr>
      <w:widowControl w:val="false"/>
      <w:suppressLineNumbers/>
      <w:suppressAutoHyphens w:val="false"/>
      <w:bidi w:val="0"/>
      <w:spacing w:lineRule="atLeast" w:line="1"/>
      <w:ind w:hangingChars="1" w:startChars="-1" w:end="0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Ttulodetabelauser">
    <w:name w:val="Título de tabela (user)"/>
    <w:basedOn w:val="Contedodatabelauser"/>
    <w:qFormat/>
    <w:pPr>
      <w:widowControl w:val="false"/>
      <w:suppressLineNumbers/>
      <w:suppressAutoHyphens w:val="false"/>
      <w:bidi w:val="0"/>
      <w:spacing w:lineRule="atLeast" w:line="1"/>
      <w:ind w:hangingChars="1" w:startChars="-1" w:end="0"/>
      <w:jc w:val="center"/>
      <w:textAlignment w:val="top"/>
    </w:pPr>
    <w:rPr>
      <w:rFonts w:ascii="Times New Roman" w:hAnsi="Times New Roman" w:eastAsia="Times New Roman" w:cs="Times New Roman"/>
      <w:b/>
      <w:bCs/>
      <w:w w:val="100"/>
      <w:position w:val="-1"/>
      <w:sz w:val="20"/>
      <w:szCs w:val="20"/>
      <w:effect w:val="none"/>
      <w:em w:val="none"/>
      <w:lang w:val="pt-BR" w:eastAsia="zh-CN" w:bidi="ar-SA"/>
    </w:rPr>
  </w:style>
  <w:style w:type="paragraph" w:styleId="TableParagraph">
    <w:name w:val="Table Paragraph"/>
    <w:basedOn w:val="normal1"/>
    <w:qFormat/>
    <w:pPr>
      <w:widowControl/>
      <w:suppressAutoHyphens w:val="false"/>
      <w:bidi w:val="0"/>
      <w:spacing w:lineRule="atLeast" w:line="1"/>
      <w:ind w:hangingChars="1" w:startChars="-1" w:end="0"/>
      <w:textAlignment w:val="top"/>
      <w:outlineLvl w:val="0"/>
    </w:pPr>
    <w:rPr>
      <w:rFonts w:ascii="Calibri" w:hAnsi="Calibri" w:eastAsia="Calibri" w:cs="Calibri"/>
      <w:w w:val="100"/>
      <w:position w:val="-1"/>
      <w:sz w:val="20"/>
      <w:szCs w:val="20"/>
      <w:effect w:val="none"/>
      <w:em w:val="none"/>
      <w:lang w:val="pt-PT" w:eastAsia="en-US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atabela">
    <w:name w:val="Conteúdo da tabela"/>
    <w:basedOn w:val="normal11"/>
    <w:qFormat/>
    <w:pPr>
      <w:widowControl w:val="false"/>
      <w:suppressLineNumbers/>
    </w:pPr>
    <w:rPr/>
  </w:style>
  <w:style w:type="paragraph" w:styleId="normal11">
    <w:name w:val="normal1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Arial"/>
      <w:color w:val="auto"/>
      <w:kern w:val="0"/>
      <w:sz w:val="20"/>
      <w:szCs w:val="20"/>
      <w:lang w:val="en-US" w:eastAsia="zh-CN" w:bidi="hi-IN"/>
    </w:rPr>
  </w:style>
  <w:style w:type="paragraph" w:styleId="normal3">
    <w:name w:val="normal3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normal111">
    <w:name w:val="normal11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zh-CN" w:bidi="hi-IN"/>
    </w:rPr>
  </w:style>
  <w:style w:type="paragraph" w:styleId="A102175">
    <w:name w:val="_A102175"/>
    <w:basedOn w:val="Normal"/>
    <w:qFormat/>
    <w:pPr>
      <w:ind w:firstLineChars="0" w:firstLine="1296" w:startChars="-1" w:end="0"/>
      <w:jc w:val="both"/>
    </w:pPr>
    <w:rPr>
      <w:rFonts w:ascii="Tms Rmn;Times New Roman" w:hAnsi="Tms Rmn;Times New Roman" w:cs="Tms Rmn;Times New Roman"/>
      <w:sz w:val="24"/>
    </w:rPr>
  </w:style>
  <w:style w:type="paragraph" w:styleId="BodyText2">
    <w:name w:val="Body Text 2"/>
    <w:basedOn w:val="Normal"/>
    <w:qFormat/>
    <w:pPr>
      <w:ind w:firstLineChars="0" w:firstLine="709" w:startChars="-1" w:end="0"/>
      <w:jc w:val="both"/>
    </w:pPr>
    <w:rPr>
      <w:sz w:val="24"/>
    </w:rPr>
  </w:style>
  <w:style w:type="paragraph" w:styleId="caption111112">
    <w:name w:val="caption111112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2">
    <w:name w:val="caption1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2">
    <w:name w:val="caption1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2">
    <w:name w:val="caption1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ontedodalista">
    <w:name w:val="Conteúdo da lista"/>
    <w:basedOn w:val="Normal"/>
    <w:qFormat/>
    <w:pPr>
      <w:ind w:startChars="-3"/>
    </w:pPr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uYQxwa3+C5ovmtZDJk24au4yfPg==">CgMxLjA4AHIhMXppdmRDTkFXeFpXSnd0akRJWlNVdkhWYUxMLTJOWVFh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LibreOffice/26.2.2.2$Windows_X86_64 LibreOffice_project/1f77d10d6938fd34972958f64b2bcfa54f8b1ba5</Application>
  <AppVersion>15.0000</AppVersion>
  <Pages>1</Pages>
  <Words>273</Words>
  <Characters>1492</Characters>
  <CharactersWithSpaces>1735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2023-07-21T20:38:00Z</dcterms:created>
  <dc:creator>cereiser</dc:creator>
  <dc:description/>
  <dc:language>pt-BR</dc:language>
  <cp:lastModifiedBy/>
  <dcterms:modified xsi:type="dcterms:W3CDTF">2026-04-11T19:35:36Z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